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D1" w:rsidRDefault="00AB70D1" w:rsidP="00AB70D1"/>
    <w:p w:rsidR="00E647C4" w:rsidRDefault="00E647C4" w:rsidP="00E647C4">
      <w:pPr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Занятие 2.</w:t>
      </w:r>
    </w:p>
    <w:p w:rsidR="00E647C4" w:rsidRDefault="00880127" w:rsidP="00E647C4">
      <w:pPr>
        <w:widowControl w:val="0"/>
        <w:jc w:val="center"/>
        <w:rPr>
          <w:b/>
          <w:sz w:val="36"/>
          <w:szCs w:val="36"/>
        </w:rPr>
      </w:pPr>
      <w:r w:rsidRPr="00E647C4">
        <w:rPr>
          <w:b/>
          <w:sz w:val="36"/>
          <w:szCs w:val="36"/>
        </w:rPr>
        <w:t>ТЕМА:</w:t>
      </w:r>
      <w:r w:rsidRPr="00E647C4">
        <w:rPr>
          <w:b/>
          <w:bCs/>
          <w:sz w:val="36"/>
          <w:szCs w:val="36"/>
        </w:rPr>
        <w:t xml:space="preserve"> </w:t>
      </w:r>
      <w:r w:rsidR="00E647C4" w:rsidRPr="00E647C4">
        <w:rPr>
          <w:b/>
          <w:sz w:val="36"/>
          <w:szCs w:val="36"/>
        </w:rPr>
        <w:t xml:space="preserve">Гигиенические аспекты </w:t>
      </w:r>
    </w:p>
    <w:p w:rsidR="00E647C4" w:rsidRDefault="00E647C4" w:rsidP="00E647C4">
      <w:pPr>
        <w:widowControl w:val="0"/>
        <w:jc w:val="center"/>
        <w:rPr>
          <w:b/>
          <w:sz w:val="28"/>
          <w:szCs w:val="28"/>
        </w:rPr>
      </w:pPr>
      <w:r w:rsidRPr="00E647C4">
        <w:rPr>
          <w:b/>
          <w:sz w:val="36"/>
          <w:szCs w:val="36"/>
        </w:rPr>
        <w:t>врачебно-профессиональной ориентации подростков.</w:t>
      </w:r>
    </w:p>
    <w:p w:rsidR="00E647C4" w:rsidRDefault="00E647C4" w:rsidP="00880127">
      <w:pPr>
        <w:widowControl w:val="0"/>
        <w:jc w:val="both"/>
        <w:rPr>
          <w:b/>
          <w:sz w:val="28"/>
          <w:szCs w:val="28"/>
        </w:rPr>
      </w:pP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1.Научно-методическое обоснование темы</w:t>
      </w:r>
      <w:r>
        <w:rPr>
          <w:sz w:val="28"/>
          <w:szCs w:val="28"/>
        </w:rPr>
        <w:t xml:space="preserve">: </w:t>
      </w:r>
    </w:p>
    <w:p w:rsidR="00880127" w:rsidRDefault="00880127" w:rsidP="00880127">
      <w:pPr>
        <w:pStyle w:val="a9"/>
        <w:widowControl w:val="0"/>
        <w:jc w:val="both"/>
        <w:rPr>
          <w:b w:val="0"/>
          <w:bCs w:val="0"/>
          <w:kern w:val="2"/>
          <w:szCs w:val="28"/>
        </w:rPr>
      </w:pPr>
      <w:r>
        <w:rPr>
          <w:b w:val="0"/>
          <w:bCs w:val="0"/>
          <w:kern w:val="2"/>
          <w:szCs w:val="28"/>
        </w:rPr>
        <w:t>Успешность профессионального обучения и процесс последующей профессиональной адаптации подростков к осваиваемой специальности во многом обусловлен профессиональной пригодностью их организма к специфическим требованиям, что предъявляет повышенные требования к организму детей и подростков и может привести к отклонениям в состоянии здоровья. Поэтому врачам необходимо знать гигиенические основы организации</w:t>
      </w:r>
      <w:r>
        <w:rPr>
          <w:b w:val="0"/>
          <w:kern w:val="2"/>
          <w:szCs w:val="28"/>
        </w:rPr>
        <w:t xml:space="preserve"> </w:t>
      </w:r>
      <w:r>
        <w:rPr>
          <w:b w:val="0"/>
          <w:bCs w:val="0"/>
          <w:kern w:val="2"/>
          <w:szCs w:val="28"/>
        </w:rPr>
        <w:t>учебно-воспитательного процесса, владеть методиками исследования и оценки умственной и физической работоспособности, уметь разрабатывать мероприятия по оптимизации процесса обучения.</w:t>
      </w:r>
    </w:p>
    <w:p w:rsidR="00880127" w:rsidRDefault="00880127" w:rsidP="00880127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2.Цель деятельности студентов на занятии:</w:t>
      </w:r>
    </w:p>
    <w:p w:rsidR="00880127" w:rsidRDefault="00880127" w:rsidP="00880127">
      <w:pPr>
        <w:pStyle w:val="2"/>
        <w:widowControl w:val="0"/>
        <w:jc w:val="both"/>
        <w:rPr>
          <w:w w:val="100"/>
          <w:kern w:val="2"/>
          <w:sz w:val="28"/>
          <w:szCs w:val="28"/>
        </w:rPr>
      </w:pPr>
      <w:r>
        <w:rPr>
          <w:w w:val="100"/>
          <w:kern w:val="2"/>
          <w:sz w:val="28"/>
          <w:szCs w:val="28"/>
        </w:rPr>
        <w:t>Ознакомить студентов с основными гигиеническими требованиями, предъявляемыми к организации учебно-воспитательного процесса в образовательных  учреждениях,  и наиболее часто используемыми и доступными методиками исследования и оценки работоспособности и функционального состояния организма обучающегося.</w:t>
      </w:r>
    </w:p>
    <w:p w:rsidR="00880127" w:rsidRDefault="00880127" w:rsidP="00880127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Содержание обучения.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Врачебная профессиональная консультация и определение профессиональной пригодности. 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Методика  проведения врачебно-профессиональной консультации здоровых подростков и с отклонениями в состоянии здоровья. 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3.3. Методика определения профессиональной пригодности подростков по психолого-физиологическим критериям.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3.3.1. Алгоритм установления профессионально значимых функций и качеств.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Понятие о </w:t>
      </w:r>
      <w:proofErr w:type="spellStart"/>
      <w:r>
        <w:rPr>
          <w:sz w:val="28"/>
          <w:szCs w:val="28"/>
        </w:rPr>
        <w:t>профессиограмме</w:t>
      </w:r>
      <w:proofErr w:type="spellEnd"/>
      <w:r>
        <w:rPr>
          <w:sz w:val="28"/>
          <w:szCs w:val="28"/>
        </w:rPr>
        <w:t>. Санитарная характеристика профессии.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3.3.3. Понятие о профессионально значимых функциях. Методы определения психофизиологических функций и установления их критериев профпригодности.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Понятие о профессионально значимых психологических свойствах личности. </w:t>
      </w:r>
    </w:p>
    <w:p w:rsidR="00880127" w:rsidRDefault="00880127" w:rsidP="00880127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Перечень лабораторных работ, наглядных пособий, ТСО.</w:t>
      </w:r>
    </w:p>
    <w:p w:rsidR="00880127" w:rsidRDefault="00880127" w:rsidP="00880127">
      <w:pPr>
        <w:widowControl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4.1. Знакомство со структурой и содержанием «Перечней медицинских противопоказаний к освоению рабочих профессий …» (</w:t>
      </w:r>
      <w:proofErr w:type="spellStart"/>
      <w:r>
        <w:rPr>
          <w:kern w:val="2"/>
          <w:sz w:val="28"/>
          <w:szCs w:val="28"/>
        </w:rPr>
        <w:t>вып</w:t>
      </w:r>
      <w:proofErr w:type="spellEnd"/>
      <w:r>
        <w:rPr>
          <w:kern w:val="2"/>
          <w:sz w:val="28"/>
          <w:szCs w:val="28"/>
        </w:rPr>
        <w:t>. 1-9).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4.2. </w:t>
      </w:r>
      <w:r>
        <w:rPr>
          <w:sz w:val="28"/>
          <w:szCs w:val="28"/>
        </w:rPr>
        <w:t xml:space="preserve">Проведения врачебно-профессиональной консультации здоровых подростков и с отклонениями в состоянии здоровья (решение ситуационных задач по результатам медицинских осмотров). 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4.3. Методика определения профессиональной пригодности подростков по психолого-физиологическим критериям.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4.3.1. Алгоритм установления профессионально значимых функций и качеств.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Составление </w:t>
      </w:r>
      <w:proofErr w:type="spellStart"/>
      <w:r>
        <w:rPr>
          <w:sz w:val="28"/>
          <w:szCs w:val="28"/>
        </w:rPr>
        <w:t>профессиограммы</w:t>
      </w:r>
      <w:proofErr w:type="spellEnd"/>
      <w:r>
        <w:rPr>
          <w:sz w:val="28"/>
          <w:szCs w:val="28"/>
        </w:rPr>
        <w:t xml:space="preserve"> и санитарной характеристики профессии (решение ситуационных задач). 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4.3.3. Знакомство с методами определения психофизиологических функций (исследования отдельных психофизиологических функций).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4.3.4. Оценка профессиональной пригодности подростков по уровню развития их психофизиологических функций (решение ситуационных задач с использованием критериев профпригодности).</w:t>
      </w:r>
    </w:p>
    <w:p w:rsidR="00880127" w:rsidRDefault="00880127" w:rsidP="008801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Исследования профессионально значимых психологических свойств личности (знакомство с отдельными методиками и тестами определения профессионально значимых психологических свойств личности на примере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). </w:t>
      </w:r>
    </w:p>
    <w:p w:rsidR="00880127" w:rsidRDefault="00880127" w:rsidP="00880127">
      <w:pPr>
        <w:widowControl w:val="0"/>
        <w:tabs>
          <w:tab w:val="num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Содержание самостоятельной работы</w:t>
      </w:r>
    </w:p>
    <w:p w:rsidR="00880127" w:rsidRDefault="00880127" w:rsidP="00880127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Литература:</w:t>
      </w:r>
    </w:p>
    <w:p w:rsidR="00880127" w:rsidRDefault="00880127" w:rsidP="00880127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880127" w:rsidRDefault="00880127" w:rsidP="00880127">
      <w:pPr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Кучма В.Р. Гигиена детей и подростков [электронный ресурс]: учебник для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узов / В.Р. Кучма. - М.: ГЭОТАР-МЕДИА, (ЭБС </w:t>
      </w:r>
      <w:proofErr w:type="spellStart"/>
      <w:r>
        <w:rPr>
          <w:sz w:val="28"/>
          <w:szCs w:val="28"/>
        </w:rPr>
        <w:t>Конс</w:t>
      </w:r>
      <w:proofErr w:type="spellEnd"/>
      <w:r>
        <w:rPr>
          <w:sz w:val="28"/>
          <w:szCs w:val="28"/>
        </w:rPr>
        <w:t xml:space="preserve">. студ.)  2010. – </w:t>
      </w:r>
      <w:r>
        <w:rPr>
          <w:b/>
          <w:sz w:val="28"/>
          <w:szCs w:val="28"/>
        </w:rPr>
        <w:t>С. 247-267.</w:t>
      </w:r>
      <w:r>
        <w:rPr>
          <w:sz w:val="28"/>
          <w:szCs w:val="28"/>
        </w:rPr>
        <w:t xml:space="preserve">                          </w:t>
      </w:r>
    </w:p>
    <w:p w:rsidR="00880127" w:rsidRDefault="00880127" w:rsidP="008801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Кучма В.Р. Гигиена детей и подростков [электронный ресурс]: рук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занятиям. - М.: ГЭОТАР-МЕДИА, 2010. (ЭБС </w:t>
      </w:r>
      <w:proofErr w:type="spellStart"/>
      <w:r>
        <w:rPr>
          <w:sz w:val="28"/>
          <w:szCs w:val="28"/>
        </w:rPr>
        <w:t>Конс</w:t>
      </w:r>
      <w:proofErr w:type="spellEnd"/>
      <w:r>
        <w:rPr>
          <w:sz w:val="28"/>
          <w:szCs w:val="28"/>
        </w:rPr>
        <w:t xml:space="preserve">. студ.) – </w:t>
      </w:r>
      <w:r>
        <w:rPr>
          <w:b/>
          <w:sz w:val="28"/>
          <w:szCs w:val="28"/>
        </w:rPr>
        <w:t>С. 192-225. Тесты №№ 453-545 на с. 353-373.</w:t>
      </w:r>
    </w:p>
    <w:p w:rsidR="00880127" w:rsidRDefault="00880127" w:rsidP="008801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Кучма В. Р. Гигиена детей и подростков: учебник для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узов / В.Р. Кучма. – М.: ГЭОТАР-Медиа, 2008.</w:t>
      </w:r>
    </w:p>
    <w:p w:rsidR="00880127" w:rsidRDefault="00880127" w:rsidP="008801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880127" w:rsidRDefault="00880127" w:rsidP="00880127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proofErr w:type="spellStart"/>
      <w:r>
        <w:rPr>
          <w:b/>
          <w:color w:val="000000"/>
          <w:sz w:val="28"/>
          <w:szCs w:val="28"/>
        </w:rPr>
        <w:t>Хронокарта</w:t>
      </w:r>
      <w:proofErr w:type="spellEnd"/>
      <w:r>
        <w:rPr>
          <w:b/>
          <w:color w:val="000000"/>
          <w:sz w:val="28"/>
          <w:szCs w:val="28"/>
        </w:rPr>
        <w:t xml:space="preserve"> учебного занятия: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3988"/>
        <w:gridCol w:w="1981"/>
        <w:gridCol w:w="1621"/>
      </w:tblGrid>
      <w:tr w:rsidR="00880127" w:rsidTr="00880127">
        <w:trPr>
          <w:trHeight w:val="8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работы</w:t>
            </w:r>
          </w:p>
          <w:p w:rsidR="00880127" w:rsidRDefault="0088012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(обсуждаемые вопросы)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  <w:p w:rsidR="00880127" w:rsidRDefault="0088012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учебно-</w:t>
            </w:r>
            <w:proofErr w:type="spellStart"/>
            <w:r>
              <w:rPr>
                <w:color w:val="000000"/>
                <w:sz w:val="28"/>
                <w:szCs w:val="28"/>
              </w:rPr>
              <w:t>позна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вательной</w:t>
            </w:r>
            <w:proofErr w:type="spellEnd"/>
          </w:p>
          <w:p w:rsidR="00880127" w:rsidRDefault="0088012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</w:t>
            </w:r>
          </w:p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обучения</w:t>
            </w:r>
          </w:p>
        </w:tc>
      </w:tr>
      <w:tr w:rsidR="00880127" w:rsidTr="00880127">
        <w:trPr>
          <w:trHeight w:val="3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 Объяснение хода занятия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80127" w:rsidTr="008801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Тест-контроль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задания</w:t>
            </w:r>
          </w:p>
        </w:tc>
      </w:tr>
      <w:tr w:rsidR="00880127" w:rsidTr="0088012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Знакомство со структурой и содержанием «Перечней медицинских противопоказаний к освоению рабочих профессий …» (</w:t>
            </w:r>
            <w:proofErr w:type="spellStart"/>
            <w:r>
              <w:rPr>
                <w:kern w:val="2"/>
                <w:sz w:val="28"/>
                <w:szCs w:val="28"/>
              </w:rPr>
              <w:t>вып</w:t>
            </w:r>
            <w:proofErr w:type="spellEnd"/>
            <w:r>
              <w:rPr>
                <w:kern w:val="2"/>
                <w:sz w:val="28"/>
                <w:szCs w:val="28"/>
              </w:rPr>
              <w:t>. 1-9).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 работа, объяснение преподавателя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 документы</w:t>
            </w:r>
          </w:p>
        </w:tc>
      </w:tr>
      <w:tr w:rsidR="00880127" w:rsidTr="00880127">
        <w:trPr>
          <w:trHeight w:val="42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врачебно-профессиональной консультации здоровых подростков и с отклонениями в состоянии здоровья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ситуационные задачи, «Перечни…»</w:t>
            </w:r>
          </w:p>
        </w:tc>
      </w:tr>
      <w:tr w:rsidR="00880127" w:rsidTr="00880127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 установления профессионально значимых функций и качеств.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преподавателя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80127" w:rsidTr="00880127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sz w:val="28"/>
                <w:szCs w:val="28"/>
              </w:rPr>
              <w:t>профессиограммы</w:t>
            </w:r>
            <w:proofErr w:type="spellEnd"/>
            <w:r>
              <w:rPr>
                <w:sz w:val="28"/>
                <w:szCs w:val="28"/>
              </w:rPr>
              <w:t xml:space="preserve"> и санитарной характеристики профессии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ситуационные задачи</w:t>
            </w:r>
          </w:p>
        </w:tc>
      </w:tr>
      <w:tr w:rsidR="00880127" w:rsidTr="00880127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методами </w:t>
            </w:r>
            <w:r>
              <w:rPr>
                <w:sz w:val="28"/>
                <w:szCs w:val="28"/>
              </w:rPr>
              <w:lastRenderedPageBreak/>
              <w:t xml:space="preserve">определения психофизиологических функций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самостоятельн</w:t>
            </w:r>
            <w:r>
              <w:rPr>
                <w:sz w:val="28"/>
                <w:szCs w:val="28"/>
              </w:rPr>
              <w:lastRenderedPageBreak/>
              <w:t>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аппаратура </w:t>
            </w:r>
            <w:r>
              <w:rPr>
                <w:sz w:val="28"/>
                <w:szCs w:val="28"/>
              </w:rPr>
              <w:lastRenderedPageBreak/>
              <w:t>и тесты</w:t>
            </w:r>
          </w:p>
        </w:tc>
      </w:tr>
      <w:tr w:rsidR="00880127" w:rsidTr="00880127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профессиональной пригодности подростков по уровню развития их психофизиологических функций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ситуационные задачи</w:t>
            </w:r>
          </w:p>
        </w:tc>
      </w:tr>
      <w:tr w:rsidR="00880127" w:rsidTr="00880127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Исследования профессионально значимых психологических свойств личности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анкетные  тесты</w:t>
            </w:r>
          </w:p>
        </w:tc>
      </w:tr>
      <w:tr w:rsidR="00880127" w:rsidTr="00880127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заключений и рекомендаций. Обсуждение результатов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преподавателем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80127" w:rsidTr="00880127">
        <w:trPr>
          <w:trHeight w:val="3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27" w:rsidRDefault="0088012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27" w:rsidRDefault="0088012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880127" w:rsidRDefault="00880127" w:rsidP="00880127">
      <w:pPr>
        <w:widowControl w:val="0"/>
        <w:rPr>
          <w:sz w:val="28"/>
          <w:szCs w:val="28"/>
        </w:rPr>
      </w:pPr>
    </w:p>
    <w:p w:rsidR="00AB70D1" w:rsidRDefault="007D04AC" w:rsidP="00AB70D1">
      <w:pPr>
        <w:rPr>
          <w:sz w:val="28"/>
          <w:szCs w:val="28"/>
        </w:rPr>
      </w:pPr>
      <w:r w:rsidRPr="007D04AC">
        <w:rPr>
          <w:sz w:val="28"/>
          <w:szCs w:val="28"/>
        </w:rPr>
        <w:t>Выполните задание 1.</w:t>
      </w:r>
    </w:p>
    <w:p w:rsidR="007D04AC" w:rsidRDefault="007D04AC" w:rsidP="00AB70D1">
      <w:pPr>
        <w:rPr>
          <w:sz w:val="28"/>
          <w:szCs w:val="28"/>
        </w:rPr>
      </w:pPr>
      <w:r>
        <w:rPr>
          <w:sz w:val="28"/>
          <w:szCs w:val="28"/>
        </w:rPr>
        <w:t xml:space="preserve">Составьте </w:t>
      </w:r>
      <w:proofErr w:type="spellStart"/>
      <w:r>
        <w:rPr>
          <w:sz w:val="28"/>
          <w:szCs w:val="28"/>
        </w:rPr>
        <w:t>профессиограмму</w:t>
      </w:r>
      <w:proofErr w:type="spellEnd"/>
      <w:r>
        <w:rPr>
          <w:sz w:val="28"/>
          <w:szCs w:val="28"/>
        </w:rPr>
        <w:t xml:space="preserve"> и санитарную характеристику профессии (любой одной и той же профессии, известной Вам) по схемам, представленным ниже</w:t>
      </w:r>
      <w:r w:rsidR="007F45B8">
        <w:rPr>
          <w:sz w:val="28"/>
          <w:szCs w:val="28"/>
        </w:rPr>
        <w:t xml:space="preserve"> (Приложение 1 и приложение 2)</w:t>
      </w:r>
      <w:r>
        <w:rPr>
          <w:sz w:val="28"/>
          <w:szCs w:val="28"/>
        </w:rPr>
        <w:t>.</w:t>
      </w:r>
      <w:r w:rsidR="007F45B8">
        <w:rPr>
          <w:sz w:val="28"/>
          <w:szCs w:val="28"/>
        </w:rPr>
        <w:t xml:space="preserve"> </w:t>
      </w:r>
      <w:r>
        <w:rPr>
          <w:sz w:val="28"/>
          <w:szCs w:val="28"/>
        </w:rPr>
        <w:t>Уясните, чем отличаются эти документы друг от друга.</w:t>
      </w:r>
    </w:p>
    <w:p w:rsidR="007D04AC" w:rsidRDefault="007D04AC" w:rsidP="00AB70D1">
      <w:pPr>
        <w:rPr>
          <w:sz w:val="28"/>
          <w:szCs w:val="28"/>
        </w:rPr>
      </w:pPr>
    </w:p>
    <w:p w:rsidR="007D04AC" w:rsidRDefault="007D04AC" w:rsidP="00AB70D1">
      <w:pPr>
        <w:rPr>
          <w:sz w:val="28"/>
          <w:szCs w:val="28"/>
        </w:rPr>
      </w:pPr>
      <w:r>
        <w:rPr>
          <w:sz w:val="28"/>
          <w:szCs w:val="28"/>
        </w:rPr>
        <w:t>Выполните задание 2.</w:t>
      </w:r>
    </w:p>
    <w:p w:rsidR="007D04AC" w:rsidRPr="007F45B8" w:rsidRDefault="007D04AC" w:rsidP="00AB70D1">
      <w:pPr>
        <w:rPr>
          <w:sz w:val="28"/>
          <w:szCs w:val="28"/>
        </w:rPr>
      </w:pPr>
      <w:r>
        <w:rPr>
          <w:sz w:val="28"/>
          <w:szCs w:val="28"/>
        </w:rPr>
        <w:t xml:space="preserve">Ответьте у себя в рабочей тетради на вопросы анкетного теста Климова </w:t>
      </w:r>
      <w:r w:rsidR="007F45B8" w:rsidRPr="007F45B8">
        <w:rPr>
          <w:b/>
          <w:sz w:val="28"/>
          <w:szCs w:val="28"/>
        </w:rPr>
        <w:t>(приложение 3)</w:t>
      </w:r>
      <w:r w:rsidR="007F4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определения предпочтительных для Вас объектов труда. Внимательно прочтите инструкцию, и, </w:t>
      </w:r>
      <w:r w:rsidR="007F45B8">
        <w:rPr>
          <w:sz w:val="28"/>
          <w:szCs w:val="28"/>
        </w:rPr>
        <w:t>читая</w:t>
      </w:r>
      <w:r>
        <w:rPr>
          <w:sz w:val="28"/>
          <w:szCs w:val="28"/>
        </w:rPr>
        <w:t xml:space="preserve"> последовательно </w:t>
      </w:r>
      <w:r w:rsidR="007F45B8">
        <w:rPr>
          <w:sz w:val="28"/>
          <w:szCs w:val="28"/>
        </w:rPr>
        <w:t>альтернативные варианты</w:t>
      </w:r>
      <w:r>
        <w:rPr>
          <w:sz w:val="28"/>
          <w:szCs w:val="28"/>
        </w:rPr>
        <w:t xml:space="preserve"> анкеты, выбирайте 1 из 2 </w:t>
      </w:r>
      <w:r w:rsidR="007F45B8">
        <w:rPr>
          <w:sz w:val="28"/>
          <w:szCs w:val="28"/>
        </w:rPr>
        <w:t>вариантов (какой больше подходит Вам или «меньше противен»)</w:t>
      </w:r>
      <w:r>
        <w:rPr>
          <w:sz w:val="28"/>
          <w:szCs w:val="28"/>
        </w:rPr>
        <w:t xml:space="preserve"> и отмечайте их в Вашей тетради. Например,</w:t>
      </w:r>
      <w:r w:rsidR="009B17C3">
        <w:rPr>
          <w:sz w:val="28"/>
          <w:szCs w:val="28"/>
        </w:rPr>
        <w:t xml:space="preserve"> если</w:t>
      </w:r>
      <w:r>
        <w:rPr>
          <w:sz w:val="28"/>
          <w:szCs w:val="28"/>
        </w:rPr>
        <w:t xml:space="preserve"> на </w:t>
      </w:r>
      <w:r w:rsidRPr="007F45B8">
        <w:rPr>
          <w:b/>
          <w:sz w:val="28"/>
          <w:szCs w:val="28"/>
        </w:rPr>
        <w:t>вопрос 1</w:t>
      </w:r>
      <w:r>
        <w:rPr>
          <w:sz w:val="28"/>
          <w:szCs w:val="28"/>
        </w:rPr>
        <w:t xml:space="preserve"> выбираете </w:t>
      </w:r>
      <w:r w:rsidR="009B17C3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</w:t>
      </w:r>
      <w:r w:rsidRPr="007F45B8">
        <w:rPr>
          <w:b/>
          <w:sz w:val="28"/>
          <w:szCs w:val="28"/>
          <w:u w:val="single"/>
        </w:rPr>
        <w:t>«а»</w:t>
      </w:r>
      <w:r w:rsidR="007F45B8" w:rsidRPr="009B17C3">
        <w:rPr>
          <w:b/>
          <w:sz w:val="28"/>
          <w:szCs w:val="28"/>
        </w:rPr>
        <w:t xml:space="preserve">, </w:t>
      </w:r>
      <w:r w:rsidR="009B17C3" w:rsidRPr="009B17C3">
        <w:rPr>
          <w:b/>
          <w:sz w:val="28"/>
          <w:szCs w:val="28"/>
        </w:rPr>
        <w:t xml:space="preserve">то </w:t>
      </w:r>
      <w:r w:rsidR="007F45B8" w:rsidRPr="007F45B8">
        <w:rPr>
          <w:b/>
          <w:sz w:val="28"/>
          <w:szCs w:val="28"/>
        </w:rPr>
        <w:t>в тетради запишите – 1а.</w:t>
      </w:r>
      <w:r w:rsidRPr="007F45B8">
        <w:rPr>
          <w:sz w:val="28"/>
          <w:szCs w:val="28"/>
        </w:rPr>
        <w:t xml:space="preserve"> </w:t>
      </w:r>
      <w:r w:rsidR="007F45B8">
        <w:rPr>
          <w:sz w:val="28"/>
          <w:szCs w:val="28"/>
        </w:rPr>
        <w:t>Выбранные варианты лучше записывать в столбик. После рассмотрения всех 20 альтернативных пар 20 получившихся у Вас вариантов сравните с «таблицей-ключом»</w:t>
      </w:r>
      <w:r w:rsidR="009B17C3">
        <w:rPr>
          <w:sz w:val="28"/>
          <w:szCs w:val="28"/>
        </w:rPr>
        <w:t xml:space="preserve"> (Приложение 4)</w:t>
      </w:r>
      <w:r w:rsidR="007F45B8">
        <w:rPr>
          <w:sz w:val="28"/>
          <w:szCs w:val="28"/>
        </w:rPr>
        <w:t xml:space="preserve">: отметьте напротив каждого Вашего </w:t>
      </w:r>
      <w:proofErr w:type="gramStart"/>
      <w:r w:rsidR="007F45B8">
        <w:rPr>
          <w:sz w:val="28"/>
          <w:szCs w:val="28"/>
        </w:rPr>
        <w:t>варианта</w:t>
      </w:r>
      <w:proofErr w:type="gramEnd"/>
      <w:r w:rsidR="007F45B8">
        <w:rPr>
          <w:sz w:val="28"/>
          <w:szCs w:val="28"/>
        </w:rPr>
        <w:t xml:space="preserve"> к какой группе профессий он </w:t>
      </w:r>
      <w:r w:rsidR="009B17C3">
        <w:rPr>
          <w:sz w:val="28"/>
          <w:szCs w:val="28"/>
        </w:rPr>
        <w:t>отнесен</w:t>
      </w:r>
      <w:r w:rsidR="007F45B8">
        <w:rPr>
          <w:sz w:val="28"/>
          <w:szCs w:val="28"/>
        </w:rPr>
        <w:t xml:space="preserve">. </w:t>
      </w:r>
      <w:proofErr w:type="gramStart"/>
      <w:r w:rsidR="007F45B8">
        <w:rPr>
          <w:sz w:val="28"/>
          <w:szCs w:val="28"/>
        </w:rPr>
        <w:t>Сделайте вывод…ту ли профессию Вы выбрали</w:t>
      </w:r>
      <w:proofErr w:type="gramEnd"/>
      <w:r w:rsidR="007F45B8">
        <w:rPr>
          <w:sz w:val="28"/>
          <w:szCs w:val="28"/>
        </w:rPr>
        <w:t xml:space="preserve">? И не расстраивайтесь раньше времени. </w:t>
      </w:r>
      <w:r w:rsidRPr="007F45B8">
        <w:rPr>
          <w:sz w:val="28"/>
          <w:szCs w:val="28"/>
        </w:rPr>
        <w:t xml:space="preserve">     </w:t>
      </w:r>
    </w:p>
    <w:p w:rsidR="00AB70D1" w:rsidRPr="007F45B8" w:rsidRDefault="00AB70D1" w:rsidP="00AB70D1"/>
    <w:p w:rsidR="00AB70D1" w:rsidRDefault="00AB70D1" w:rsidP="00AB70D1"/>
    <w:p w:rsidR="00AB70D1" w:rsidRDefault="00AB70D1" w:rsidP="00AB70D1"/>
    <w:p w:rsidR="00AB70D1" w:rsidRDefault="00AB70D1" w:rsidP="00AB70D1"/>
    <w:p w:rsidR="00AB70D1" w:rsidRDefault="00AB70D1" w:rsidP="00AB70D1"/>
    <w:p w:rsidR="00AB70D1" w:rsidRDefault="00AB70D1" w:rsidP="00AB70D1"/>
    <w:p w:rsidR="00AB70D1" w:rsidRDefault="00AB70D1" w:rsidP="00AB70D1"/>
    <w:p w:rsidR="00AB70D1" w:rsidRDefault="00AB70D1" w:rsidP="00AB70D1"/>
    <w:p w:rsidR="00AB70D1" w:rsidRDefault="00AB70D1" w:rsidP="00AB70D1"/>
    <w:p w:rsidR="00AB70D1" w:rsidRDefault="00AB70D1" w:rsidP="00AB70D1"/>
    <w:p w:rsidR="00AB70D1" w:rsidRDefault="00AB70D1" w:rsidP="00AB70D1"/>
    <w:p w:rsidR="00AB70D1" w:rsidRDefault="00AB70D1" w:rsidP="00AB70D1"/>
    <w:p w:rsidR="00AB70D1" w:rsidRDefault="00AB70D1" w:rsidP="00AB70D1"/>
    <w:p w:rsidR="009B17C3" w:rsidRPr="009B17C3" w:rsidRDefault="009B17C3" w:rsidP="009B17C3">
      <w:pPr>
        <w:jc w:val="right"/>
        <w:rPr>
          <w:b/>
          <w:sz w:val="28"/>
          <w:szCs w:val="28"/>
        </w:rPr>
      </w:pPr>
      <w:r w:rsidRPr="009B17C3">
        <w:rPr>
          <w:b/>
          <w:sz w:val="28"/>
          <w:szCs w:val="28"/>
        </w:rPr>
        <w:lastRenderedPageBreak/>
        <w:t>Приложение 1.</w:t>
      </w:r>
    </w:p>
    <w:p w:rsidR="009B17C3" w:rsidRDefault="009B17C3" w:rsidP="00AB70D1"/>
    <w:p w:rsidR="00AB70D1" w:rsidRDefault="009B17C3" w:rsidP="00AB70D1">
      <w:r w:rsidRPr="009B17C3">
        <w:rPr>
          <w:noProof/>
          <w:bdr w:val="single" w:sz="4" w:space="0" w:color="auto"/>
        </w:rPr>
        <w:drawing>
          <wp:inline distT="0" distB="0" distL="0" distR="0" wp14:anchorId="4FD3DBFC" wp14:editId="0DAB2439">
            <wp:extent cx="5638800" cy="4267200"/>
            <wp:effectExtent l="0" t="0" r="0" b="0"/>
            <wp:docPr id="152" name="Рисунок 152" descr="https://ds03.infourok.ru/uploads/ex/0baf/0003efc6-9a2b4619/img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Рисунок 152" descr="https://ds03.infourok.ru/uploads/ex/0baf/0003efc6-9a2b4619/img4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760" cy="427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C4" w:rsidRDefault="00E647C4" w:rsidP="00AB70D1"/>
    <w:p w:rsidR="00E647C4" w:rsidRPr="009B17C3" w:rsidRDefault="009B17C3" w:rsidP="009B17C3">
      <w:pPr>
        <w:jc w:val="right"/>
        <w:rPr>
          <w:b/>
          <w:sz w:val="28"/>
          <w:szCs w:val="28"/>
        </w:rPr>
      </w:pPr>
      <w:r w:rsidRPr="009B17C3">
        <w:rPr>
          <w:b/>
          <w:sz w:val="28"/>
          <w:szCs w:val="28"/>
        </w:rPr>
        <w:t>Приложение 2.</w:t>
      </w:r>
    </w:p>
    <w:p w:rsidR="009B17C3" w:rsidRDefault="009B17C3" w:rsidP="00AB70D1"/>
    <w:p w:rsidR="009B17C3" w:rsidRDefault="009B17C3" w:rsidP="00AB70D1">
      <w:r w:rsidRPr="009B17C3">
        <w:rPr>
          <w:noProof/>
          <w:bdr w:val="single" w:sz="4" w:space="0" w:color="auto"/>
        </w:rPr>
        <w:drawing>
          <wp:inline distT="0" distB="0" distL="0" distR="0" wp14:anchorId="75F8B931" wp14:editId="61E592C6">
            <wp:extent cx="5638800" cy="4191000"/>
            <wp:effectExtent l="0" t="0" r="0" b="0"/>
            <wp:docPr id="153" name="Рисунок 153" descr="https://presentacii.ru/documents_2/41e3a48be25dfae6ae3d113a8b9584ac/img13.jpg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Рисунок 153" descr="https://presentacii.ru/documents_2/41e3a48be25dfae6ae3d113a8b9584ac/img13.jpg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C4" w:rsidRDefault="00E647C4" w:rsidP="00AB70D1"/>
    <w:p w:rsidR="009B17C3" w:rsidRDefault="00183595" w:rsidP="00183595">
      <w:pPr>
        <w:jc w:val="right"/>
        <w:rPr>
          <w:b/>
          <w:sz w:val="28"/>
          <w:szCs w:val="28"/>
        </w:rPr>
      </w:pPr>
      <w:r w:rsidRPr="00183595">
        <w:rPr>
          <w:b/>
          <w:sz w:val="28"/>
          <w:szCs w:val="28"/>
        </w:rPr>
        <w:lastRenderedPageBreak/>
        <w:t>Приложение 3.</w:t>
      </w:r>
    </w:p>
    <w:p w:rsidR="00183595" w:rsidRPr="00183595" w:rsidRDefault="00183595" w:rsidP="00183595">
      <w:pPr>
        <w:shd w:val="clear" w:color="auto" w:fill="FFFFFF"/>
        <w:spacing w:before="150" w:after="150" w:line="600" w:lineRule="atLeast"/>
        <w:jc w:val="center"/>
        <w:outlineLvl w:val="0"/>
        <w:rPr>
          <w:rFonts w:ascii="Helvetica" w:hAnsi="Helvetica" w:cs="Helvetica"/>
          <w:b/>
          <w:bCs/>
          <w:color w:val="333333"/>
          <w:kern w:val="36"/>
          <w:sz w:val="36"/>
          <w:szCs w:val="36"/>
        </w:rPr>
      </w:pPr>
      <w:r w:rsidRPr="00183595">
        <w:rPr>
          <w:rFonts w:ascii="Helvetica" w:hAnsi="Helvetica" w:cs="Helvetica"/>
          <w:b/>
          <w:bCs/>
          <w:color w:val="333333"/>
          <w:kern w:val="36"/>
          <w:sz w:val="36"/>
          <w:szCs w:val="36"/>
        </w:rPr>
        <w:t xml:space="preserve">Методика « дифференциально - </w:t>
      </w:r>
      <w:proofErr w:type="gramStart"/>
      <w:r w:rsidRPr="00183595">
        <w:rPr>
          <w:rFonts w:ascii="Helvetica" w:hAnsi="Helvetica" w:cs="Helvetica"/>
          <w:b/>
          <w:bCs/>
          <w:color w:val="333333"/>
          <w:kern w:val="36"/>
          <w:sz w:val="36"/>
          <w:szCs w:val="36"/>
        </w:rPr>
        <w:t>диагностический</w:t>
      </w:r>
      <w:proofErr w:type="gramEnd"/>
      <w:r w:rsidRPr="00183595">
        <w:rPr>
          <w:rFonts w:ascii="Helvetica" w:hAnsi="Helvetica" w:cs="Helvetica"/>
          <w:b/>
          <w:bCs/>
          <w:color w:val="333333"/>
          <w:kern w:val="36"/>
          <w:sz w:val="36"/>
          <w:szCs w:val="36"/>
        </w:rPr>
        <w:t xml:space="preserve"> опросник » (ДДО) Е. А. Климова.</w:t>
      </w:r>
    </w:p>
    <w:p w:rsidR="00183595" w:rsidRPr="00183595" w:rsidRDefault="00183595" w:rsidP="00183595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183595">
        <w:rPr>
          <w:rFonts w:ascii="Calibri" w:hAnsi="Calibri" w:cs="Helvetica"/>
          <w:b/>
          <w:bCs/>
          <w:color w:val="333333"/>
          <w:sz w:val="27"/>
          <w:szCs w:val="27"/>
        </w:rPr>
        <w:t>Методика</w:t>
      </w:r>
      <w:r w:rsidRPr="00183595">
        <w:rPr>
          <w:rFonts w:ascii="Calibri" w:hAnsi="Calibri" w:cs="Helvetica"/>
          <w:color w:val="333333"/>
          <w:sz w:val="27"/>
          <w:szCs w:val="27"/>
        </w:rPr>
        <w:t> предназначена для отбора на различные типы профессий в соответствии с классификацией типов про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фессий </w:t>
      </w:r>
      <w:r w:rsidRPr="00183595">
        <w:rPr>
          <w:rFonts w:ascii="Calibri" w:hAnsi="Calibri" w:cs="Helvetica"/>
          <w:b/>
          <w:bCs/>
          <w:color w:val="333333"/>
          <w:sz w:val="27"/>
          <w:szCs w:val="27"/>
        </w:rPr>
        <w:t>Е. А. Климова</w:t>
      </w:r>
      <w:r w:rsidRPr="00183595">
        <w:rPr>
          <w:rFonts w:ascii="Calibri" w:hAnsi="Calibri" w:cs="Helvetica"/>
          <w:color w:val="333333"/>
          <w:sz w:val="27"/>
          <w:szCs w:val="27"/>
        </w:rPr>
        <w:t>. Можно использовать при профори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ентации подростков и взрослых.</w:t>
      </w:r>
    </w:p>
    <w:p w:rsidR="00183595" w:rsidRPr="00183595" w:rsidRDefault="00183595" w:rsidP="00183595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183595">
        <w:rPr>
          <w:rFonts w:ascii="Calibri" w:hAnsi="Calibri" w:cs="Helvetica"/>
          <w:b/>
          <w:bCs/>
          <w:color w:val="333333"/>
          <w:sz w:val="27"/>
          <w:szCs w:val="27"/>
        </w:rPr>
        <w:t>Содержание методики:</w:t>
      </w:r>
      <w:r w:rsidRPr="00183595">
        <w:rPr>
          <w:rFonts w:ascii="Calibri" w:hAnsi="Calibri" w:cs="Helvetica"/>
          <w:color w:val="333333"/>
          <w:sz w:val="27"/>
          <w:szCs w:val="27"/>
        </w:rPr>
        <w:t> испытуемый должен в каждой им 20 пар предлагаемых видов деятельности выбрать тол</w:t>
      </w:r>
      <w:proofErr w:type="gramStart"/>
      <w:r w:rsidRPr="00183595">
        <w:rPr>
          <w:rFonts w:ascii="Calibri" w:hAnsi="Calibri" w:cs="Helvetica"/>
          <w:color w:val="333333"/>
          <w:sz w:val="27"/>
          <w:szCs w:val="27"/>
        </w:rPr>
        <w:t>ь-</w:t>
      </w:r>
      <w:proofErr w:type="gramEnd"/>
      <w:r w:rsidRPr="00183595">
        <w:rPr>
          <w:rFonts w:ascii="Calibri" w:hAnsi="Calibri" w:cs="Helvetica"/>
          <w:color w:val="333333"/>
          <w:sz w:val="27"/>
          <w:szCs w:val="27"/>
        </w:rPr>
        <w:t xml:space="preserve"> ко один вид и в соответствующей клетке листа ответов поставить знак «+».</w:t>
      </w:r>
    </w:p>
    <w:p w:rsidR="00183595" w:rsidRDefault="00183595" w:rsidP="00183595">
      <w:pPr>
        <w:shd w:val="clear" w:color="auto" w:fill="FFFFFF"/>
        <w:spacing w:after="150"/>
        <w:rPr>
          <w:rFonts w:ascii="Calibri" w:hAnsi="Calibri" w:cs="Helvetica"/>
          <w:color w:val="333333"/>
          <w:sz w:val="27"/>
          <w:szCs w:val="27"/>
        </w:rPr>
      </w:pPr>
      <w:r w:rsidRPr="00183595">
        <w:rPr>
          <w:rFonts w:ascii="Calibri" w:hAnsi="Calibri" w:cs="Helvetica"/>
          <w:color w:val="333333"/>
          <w:sz w:val="27"/>
          <w:szCs w:val="27"/>
        </w:rPr>
        <w:t>Инструкция: «Предположим, что после соответствую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щего обучения Вы сможете выполнить любую работу. Но если бы Вам пришлось выбирать только из двух возмож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 xml:space="preserve">ностей, что бы Вы предпочли?» </w:t>
      </w:r>
    </w:p>
    <w:p w:rsidR="00183595" w:rsidRPr="00183595" w:rsidRDefault="00183595" w:rsidP="00183595">
      <w:pPr>
        <w:shd w:val="clear" w:color="auto" w:fill="FFFFFF"/>
        <w:spacing w:after="150"/>
        <w:rPr>
          <w:rFonts w:ascii="Calibri" w:hAnsi="Calibri" w:cs="Helvetica"/>
          <w:b/>
          <w:color w:val="333333"/>
          <w:sz w:val="27"/>
          <w:szCs w:val="27"/>
        </w:rPr>
      </w:pPr>
      <w:r w:rsidRPr="00183595">
        <w:rPr>
          <w:rFonts w:ascii="Calibri" w:hAnsi="Calibri" w:cs="Helvetica"/>
          <w:b/>
          <w:color w:val="333333"/>
          <w:sz w:val="27"/>
          <w:szCs w:val="27"/>
        </w:rPr>
        <w:t xml:space="preserve">Выбирайте альтернативные варианты </w:t>
      </w:r>
      <w:proofErr w:type="gramStart"/>
      <w:r w:rsidRPr="00183595">
        <w:rPr>
          <w:rFonts w:ascii="Calibri" w:hAnsi="Calibri" w:cs="Helvetica"/>
          <w:b/>
          <w:color w:val="333333"/>
          <w:sz w:val="27"/>
          <w:szCs w:val="27"/>
        </w:rPr>
        <w:t>из</w:t>
      </w:r>
      <w:proofErr w:type="gramEnd"/>
      <w:r w:rsidRPr="00183595">
        <w:rPr>
          <w:rFonts w:ascii="Calibri" w:hAnsi="Calibri" w:cs="Helvetica"/>
          <w:b/>
          <w:color w:val="333333"/>
          <w:sz w:val="27"/>
          <w:szCs w:val="27"/>
        </w:rPr>
        <w:t xml:space="preserve"> предложенных в анкете и отметьте их у себя в рабочей тетради.</w:t>
      </w:r>
    </w:p>
    <w:p w:rsidR="00183595" w:rsidRPr="00183595" w:rsidRDefault="00183595" w:rsidP="00183595">
      <w:pPr>
        <w:shd w:val="clear" w:color="auto" w:fill="FFFFFF"/>
        <w:spacing w:after="150"/>
        <w:rPr>
          <w:rFonts w:ascii="Calibri" w:hAnsi="Calibri" w:cs="Helvetica"/>
          <w:b/>
          <w:color w:val="333333"/>
          <w:sz w:val="27"/>
          <w:szCs w:val="27"/>
        </w:rPr>
      </w:pPr>
      <w:r w:rsidRPr="00183595">
        <w:rPr>
          <w:rFonts w:ascii="Calibri" w:hAnsi="Calibri" w:cs="Helvetica"/>
          <w:b/>
          <w:color w:val="333333"/>
          <w:sz w:val="27"/>
          <w:szCs w:val="27"/>
        </w:rPr>
        <w:t xml:space="preserve">Сравните Ваши варианты  с «ключом ответов». </w:t>
      </w:r>
    </w:p>
    <w:p w:rsidR="00183595" w:rsidRPr="00183595" w:rsidRDefault="00183595" w:rsidP="00183595">
      <w:pPr>
        <w:widowControl w:val="0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 w:rsidRPr="00183595">
        <w:rPr>
          <w:rFonts w:ascii="Calibri" w:hAnsi="Calibri" w:cs="Helvetica"/>
          <w:color w:val="333333"/>
          <w:sz w:val="27"/>
          <w:szCs w:val="27"/>
        </w:rPr>
        <w:t>Лист ответов сделан так, чтобы можно было подсчитать количество знаков «+» в каждом из 5-ти столбцов. Каж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дый из 5-ти столбцов соответствует определенному типу профессий. Испытуемому рекомендуется выбрать тот тип профессий, который получил максимальное количество зна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ков « + ». Название типов профессий по столбцам:</w:t>
      </w:r>
    </w:p>
    <w:p w:rsidR="00183595" w:rsidRPr="00183595" w:rsidRDefault="00183595" w:rsidP="00183595">
      <w:pPr>
        <w:widowControl w:val="0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 w:rsidRPr="00183595">
        <w:rPr>
          <w:rFonts w:ascii="Calibri" w:hAnsi="Calibri" w:cs="Helvetica"/>
          <w:color w:val="333333"/>
          <w:sz w:val="27"/>
          <w:szCs w:val="27"/>
        </w:rPr>
        <w:t xml:space="preserve">1. «человек—природа» </w:t>
      </w:r>
      <w:r w:rsidR="0080449C">
        <w:rPr>
          <w:rFonts w:ascii="Calibri" w:hAnsi="Calibri" w:cs="Helvetica"/>
          <w:color w:val="333333"/>
          <w:sz w:val="27"/>
          <w:szCs w:val="27"/>
        </w:rPr>
        <w:t>(ЧП)</w:t>
      </w:r>
      <w:r w:rsidRPr="00183595">
        <w:rPr>
          <w:rFonts w:ascii="Calibri" w:hAnsi="Calibri" w:cs="Helvetica"/>
          <w:color w:val="333333"/>
          <w:sz w:val="27"/>
          <w:szCs w:val="27"/>
        </w:rPr>
        <w:t>— все профессии, связанные с растениеводством, животноводством и лесным хозяйством;</w:t>
      </w:r>
    </w:p>
    <w:p w:rsidR="00183595" w:rsidRPr="00183595" w:rsidRDefault="00183595" w:rsidP="00183595">
      <w:pPr>
        <w:widowControl w:val="0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 w:rsidRPr="00183595">
        <w:rPr>
          <w:rFonts w:ascii="Calibri" w:hAnsi="Calibri" w:cs="Helvetica"/>
          <w:color w:val="333333"/>
          <w:sz w:val="27"/>
          <w:szCs w:val="27"/>
        </w:rPr>
        <w:t xml:space="preserve">2. «человек—техника» </w:t>
      </w:r>
      <w:r w:rsidR="0080449C">
        <w:rPr>
          <w:rFonts w:ascii="Calibri" w:hAnsi="Calibri" w:cs="Helvetica"/>
          <w:color w:val="333333"/>
          <w:sz w:val="27"/>
          <w:szCs w:val="27"/>
        </w:rPr>
        <w:t xml:space="preserve">(ЧТ) </w:t>
      </w:r>
      <w:r w:rsidRPr="00183595">
        <w:rPr>
          <w:rFonts w:ascii="Calibri" w:hAnsi="Calibri" w:cs="Helvetica"/>
          <w:color w:val="333333"/>
          <w:sz w:val="27"/>
          <w:szCs w:val="27"/>
        </w:rPr>
        <w:t>— все технические профессии;</w:t>
      </w:r>
    </w:p>
    <w:p w:rsidR="00183595" w:rsidRPr="00183595" w:rsidRDefault="00183595" w:rsidP="00183595">
      <w:pPr>
        <w:widowControl w:val="0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 w:rsidRPr="00183595">
        <w:rPr>
          <w:rFonts w:ascii="Calibri" w:hAnsi="Calibri" w:cs="Helvetica"/>
          <w:color w:val="333333"/>
          <w:sz w:val="27"/>
          <w:szCs w:val="27"/>
        </w:rPr>
        <w:t xml:space="preserve">3. «человек—человек» </w:t>
      </w:r>
      <w:r w:rsidR="0080449C">
        <w:rPr>
          <w:rFonts w:ascii="Calibri" w:hAnsi="Calibri" w:cs="Helvetica"/>
          <w:color w:val="333333"/>
          <w:sz w:val="27"/>
          <w:szCs w:val="27"/>
        </w:rPr>
        <w:t xml:space="preserve">(ЧЧ) </w:t>
      </w:r>
      <w:r w:rsidRPr="00183595">
        <w:rPr>
          <w:rFonts w:ascii="Calibri" w:hAnsi="Calibri" w:cs="Helvetica"/>
          <w:color w:val="333333"/>
          <w:sz w:val="27"/>
          <w:szCs w:val="27"/>
        </w:rPr>
        <w:t>— все профессии, связанные с об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служиванием людей, с общением;</w:t>
      </w:r>
    </w:p>
    <w:p w:rsidR="00183595" w:rsidRPr="00183595" w:rsidRDefault="00183595" w:rsidP="00183595">
      <w:pPr>
        <w:widowControl w:val="0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 w:rsidRPr="00183595">
        <w:rPr>
          <w:rFonts w:ascii="Calibri" w:hAnsi="Calibri" w:cs="Helvetica"/>
          <w:color w:val="333333"/>
          <w:sz w:val="27"/>
          <w:szCs w:val="27"/>
        </w:rPr>
        <w:t xml:space="preserve">4. «человек—знак» </w:t>
      </w:r>
      <w:r w:rsidR="0080449C">
        <w:rPr>
          <w:rFonts w:ascii="Calibri" w:hAnsi="Calibri" w:cs="Helvetica"/>
          <w:color w:val="333333"/>
          <w:sz w:val="27"/>
          <w:szCs w:val="27"/>
        </w:rPr>
        <w:t xml:space="preserve">(ЧЗ) </w:t>
      </w:r>
      <w:r w:rsidRPr="00183595">
        <w:rPr>
          <w:rFonts w:ascii="Calibri" w:hAnsi="Calibri" w:cs="Helvetica"/>
          <w:color w:val="333333"/>
          <w:sz w:val="27"/>
          <w:szCs w:val="27"/>
        </w:rPr>
        <w:t>— все профессии, связанные с обсче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тами, цифровыми и буквенными знаками, в том числе и музыкальные специальности;</w:t>
      </w:r>
    </w:p>
    <w:p w:rsidR="00183595" w:rsidRPr="00183595" w:rsidRDefault="00183595" w:rsidP="00183595">
      <w:pPr>
        <w:widowControl w:val="0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 w:rsidRPr="00183595">
        <w:rPr>
          <w:rFonts w:ascii="Calibri" w:hAnsi="Calibri" w:cs="Helvetica"/>
          <w:color w:val="333333"/>
          <w:sz w:val="27"/>
          <w:szCs w:val="27"/>
        </w:rPr>
        <w:t>5. «</w:t>
      </w:r>
      <w:proofErr w:type="gramStart"/>
      <w:r w:rsidRPr="00183595">
        <w:rPr>
          <w:rFonts w:ascii="Calibri" w:hAnsi="Calibri" w:cs="Helvetica"/>
          <w:color w:val="333333"/>
          <w:sz w:val="27"/>
          <w:szCs w:val="27"/>
        </w:rPr>
        <w:t>человек—художественный</w:t>
      </w:r>
      <w:proofErr w:type="gramEnd"/>
      <w:r w:rsidRPr="00183595">
        <w:rPr>
          <w:rFonts w:ascii="Calibri" w:hAnsi="Calibri" w:cs="Helvetica"/>
          <w:color w:val="333333"/>
          <w:sz w:val="27"/>
          <w:szCs w:val="27"/>
        </w:rPr>
        <w:t xml:space="preserve"> образ» </w:t>
      </w:r>
      <w:r w:rsidR="0080449C">
        <w:rPr>
          <w:rFonts w:ascii="Calibri" w:hAnsi="Calibri" w:cs="Helvetica"/>
          <w:color w:val="333333"/>
          <w:sz w:val="27"/>
          <w:szCs w:val="27"/>
        </w:rPr>
        <w:t xml:space="preserve">(ЧХО) </w:t>
      </w:r>
      <w:r w:rsidRPr="00183595">
        <w:rPr>
          <w:rFonts w:ascii="Calibri" w:hAnsi="Calibri" w:cs="Helvetica"/>
          <w:color w:val="333333"/>
          <w:sz w:val="27"/>
          <w:szCs w:val="27"/>
        </w:rPr>
        <w:t>— все творческие специальности.</w:t>
      </w:r>
    </w:p>
    <w:p w:rsidR="00183595" w:rsidRPr="00183595" w:rsidRDefault="00183595" w:rsidP="00183595">
      <w:pPr>
        <w:widowControl w:val="0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 w:rsidRPr="00183595">
        <w:rPr>
          <w:rFonts w:ascii="Calibri" w:hAnsi="Calibri" w:cs="Helvetica"/>
          <w:color w:val="333333"/>
          <w:sz w:val="27"/>
          <w:szCs w:val="27"/>
        </w:rPr>
        <w:t>Время обследования не ограничивается. Хотя, испытуе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мого следует предупредить о том, что над вопросами не следует долго задумываться и обычно на выполнение задания требуется 20-30 мин. Возможно использование ме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тодики индивидуально и в группе. Экспериментатор мо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жет зачитывать вопросы группе испытуемых, но в этом случае ограничивается время ответа. Такой способ применя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тся, когда экспериментатор должен работать в ограни</w:t>
      </w:r>
      <w:r w:rsidRPr="00183595">
        <w:rPr>
          <w:rFonts w:ascii="Calibri" w:hAnsi="Calibri" w:cs="Helvetica"/>
          <w:color w:val="333333"/>
          <w:sz w:val="27"/>
          <w:szCs w:val="27"/>
        </w:rPr>
        <w:softHyphen/>
        <w:t>ченном временном интервале.</w:t>
      </w:r>
    </w:p>
    <w:p w:rsidR="00183595" w:rsidRPr="00183595" w:rsidRDefault="00183595" w:rsidP="00183595">
      <w:pPr>
        <w:widowControl w:val="0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83595" w:rsidRDefault="00183595" w:rsidP="00183595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Helvetica"/>
          <w:noProof/>
          <w:color w:val="333333"/>
          <w:sz w:val="27"/>
          <w:szCs w:val="27"/>
        </w:rPr>
        <w:lastRenderedPageBreak/>
        <w:drawing>
          <wp:inline distT="0" distB="0" distL="0" distR="0" wp14:anchorId="6C6CB161" wp14:editId="20DDCB81">
            <wp:extent cx="6096000" cy="8928100"/>
            <wp:effectExtent l="0" t="0" r="0" b="6350"/>
            <wp:docPr id="3" name="Рисунок 3" descr="МЕТОДИКА «ДИФФЕРЕНЦИАЛЬНО­ДИАГНОСТИЧЕСКИЙ ОПРОСНИК» (ДДО) Е. А. КЛИМ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ИКА «ДИФФЕРЕНЦИАЛЬНО­ДИАГНОСТИЧЕСКИЙ ОПРОСНИК» (ДДО) Е. А. КЛИМОВ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92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595">
        <w:rPr>
          <w:rFonts w:ascii="Calibri" w:hAnsi="Calibri" w:cs="Helvetica"/>
          <w:color w:val="333333"/>
          <w:sz w:val="27"/>
          <w:szCs w:val="27"/>
        </w:rPr>
        <w:br/>
      </w:r>
      <w:r w:rsidRPr="00183595">
        <w:rPr>
          <w:rFonts w:ascii="Calibri" w:hAnsi="Calibri" w:cs="Helvetica"/>
          <w:color w:val="333333"/>
          <w:sz w:val="27"/>
          <w:szCs w:val="27"/>
        </w:rPr>
        <w:br/>
      </w:r>
      <w:r>
        <w:rPr>
          <w:rFonts w:ascii="Calibri" w:hAnsi="Calibri" w:cs="Helvetica"/>
          <w:noProof/>
          <w:color w:val="333333"/>
          <w:sz w:val="27"/>
          <w:szCs w:val="27"/>
        </w:rPr>
        <w:lastRenderedPageBreak/>
        <w:drawing>
          <wp:inline distT="0" distB="0" distL="0" distR="0" wp14:anchorId="77D4D1AD" wp14:editId="3A7CD46E">
            <wp:extent cx="6312967" cy="8890000"/>
            <wp:effectExtent l="0" t="0" r="0" b="6350"/>
            <wp:docPr id="2" name="Рисунок 2" descr="МЕТОДИКА «ДИФФЕРЕНЦИАЛЬНО­ДИАГНОСТИЧЕСКИЙ ОПРОСНИК» (ДДО) Е. А. КЛИМ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ОДИКА «ДИФФЕРЕНЦИАЛЬНО­ДИАГНОСТИЧЕСКИЙ ОПРОСНИК» (ДДО) Е. А. КЛИМОВ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967" cy="8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595" w:rsidRPr="00183595" w:rsidRDefault="00183595" w:rsidP="00183595">
      <w:pPr>
        <w:rPr>
          <w:rFonts w:ascii="Helvetica" w:hAnsi="Helvetica" w:cs="Helvetica"/>
          <w:sz w:val="21"/>
          <w:szCs w:val="21"/>
        </w:rPr>
      </w:pPr>
    </w:p>
    <w:p w:rsidR="00183595" w:rsidRPr="00183595" w:rsidRDefault="00183595" w:rsidP="00183595">
      <w:pPr>
        <w:rPr>
          <w:rFonts w:ascii="Helvetica" w:hAnsi="Helvetica" w:cs="Helvetica"/>
          <w:sz w:val="21"/>
          <w:szCs w:val="21"/>
        </w:rPr>
      </w:pPr>
    </w:p>
    <w:p w:rsidR="00183595" w:rsidRPr="00183595" w:rsidRDefault="00183595" w:rsidP="00183595">
      <w:pPr>
        <w:rPr>
          <w:rFonts w:ascii="Helvetica" w:hAnsi="Helvetica" w:cs="Helvetica"/>
          <w:sz w:val="21"/>
          <w:szCs w:val="21"/>
        </w:rPr>
      </w:pPr>
    </w:p>
    <w:p w:rsidR="00183595" w:rsidRDefault="00183595" w:rsidP="00183595">
      <w:pPr>
        <w:rPr>
          <w:rFonts w:ascii="Helvetica" w:hAnsi="Helvetica" w:cs="Helvetica"/>
          <w:sz w:val="21"/>
          <w:szCs w:val="21"/>
        </w:rPr>
      </w:pPr>
    </w:p>
    <w:p w:rsidR="00896D9C" w:rsidRDefault="00183595" w:rsidP="00296964">
      <w:pPr>
        <w:tabs>
          <w:tab w:val="left" w:pos="1680"/>
        </w:tabs>
        <w:jc w:val="right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sz w:val="21"/>
          <w:szCs w:val="21"/>
        </w:rPr>
        <w:lastRenderedPageBreak/>
        <w:tab/>
      </w:r>
      <w:r w:rsidR="00896D9C">
        <w:rPr>
          <w:rFonts w:ascii="Helvetica" w:hAnsi="Helvetica" w:cs="Helvetica"/>
          <w:b/>
          <w:sz w:val="28"/>
          <w:szCs w:val="28"/>
        </w:rPr>
        <w:t>Приложение 4.</w:t>
      </w:r>
    </w:p>
    <w:p w:rsidR="00183595" w:rsidRDefault="0080449C" w:rsidP="0080449C">
      <w:pPr>
        <w:tabs>
          <w:tab w:val="left" w:pos="1680"/>
        </w:tabs>
        <w:jc w:val="center"/>
        <w:rPr>
          <w:rFonts w:ascii="Helvetica" w:hAnsi="Helvetica" w:cs="Helvetica"/>
          <w:b/>
          <w:sz w:val="28"/>
          <w:szCs w:val="28"/>
        </w:rPr>
      </w:pPr>
      <w:r w:rsidRPr="0080449C">
        <w:rPr>
          <w:rFonts w:ascii="Helvetica" w:hAnsi="Helvetica" w:cs="Helvetica"/>
          <w:b/>
          <w:sz w:val="28"/>
          <w:szCs w:val="28"/>
        </w:rPr>
        <w:t>Лист ответов</w:t>
      </w:r>
    </w:p>
    <w:p w:rsidR="0080449C" w:rsidRPr="0080449C" w:rsidRDefault="0080449C" w:rsidP="00183595">
      <w:pPr>
        <w:tabs>
          <w:tab w:val="left" w:pos="1680"/>
        </w:tabs>
        <w:rPr>
          <w:rFonts w:ascii="Helvetica" w:hAnsi="Helvetica" w:cs="Helvetica"/>
          <w:b/>
          <w:sz w:val="28"/>
          <w:szCs w:val="28"/>
        </w:rPr>
      </w:pPr>
    </w:p>
    <w:tbl>
      <w:tblPr>
        <w:tblStyle w:val="ad"/>
        <w:tblW w:w="0" w:type="auto"/>
        <w:tblInd w:w="1242" w:type="dxa"/>
        <w:tblLook w:val="04A0" w:firstRow="1" w:lastRow="0" w:firstColumn="1" w:lastColumn="0" w:noHBand="0" w:noVBand="1"/>
      </w:tblPr>
      <w:tblGrid>
        <w:gridCol w:w="1587"/>
        <w:gridCol w:w="1588"/>
        <w:gridCol w:w="1587"/>
        <w:gridCol w:w="1588"/>
        <w:gridCol w:w="1588"/>
      </w:tblGrid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1. ЧП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2. ЧТ</w:t>
            </w: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3. ЧЧ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4. ЧЗ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5. ЧХО</w:t>
            </w: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1б</w:t>
            </w: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2а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2б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3а</w:t>
            </w: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3б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4а</w:t>
            </w: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4б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5а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5б</w:t>
            </w: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6а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6б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7а</w:t>
            </w: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7б</w:t>
            </w: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8а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8б</w:t>
            </w: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9а</w:t>
            </w: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9б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10а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10б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11а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11б</w:t>
            </w: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12а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12б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13а</w:t>
            </w: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13б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14а</w:t>
            </w: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14б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15а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15б</w:t>
            </w: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16а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16б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17а</w:t>
            </w: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17б</w:t>
            </w: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18а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18б</w:t>
            </w: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19а</w:t>
            </w: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19б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20а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49C">
              <w:rPr>
                <w:rFonts w:ascii="Arial" w:hAnsi="Arial" w:cs="Arial"/>
                <w:b/>
                <w:sz w:val="28"/>
                <w:szCs w:val="28"/>
              </w:rPr>
              <w:t>20б</w:t>
            </w: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449C" w:rsidRPr="0080449C" w:rsidTr="0080449C"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80449C" w:rsidRPr="0080449C" w:rsidRDefault="0080449C" w:rsidP="0080449C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183595" w:rsidRDefault="00183595" w:rsidP="00183595">
      <w:pPr>
        <w:tabs>
          <w:tab w:val="left" w:pos="1680"/>
        </w:tabs>
        <w:rPr>
          <w:rFonts w:ascii="Helvetica" w:hAnsi="Helvetica" w:cs="Helvetica"/>
          <w:sz w:val="21"/>
          <w:szCs w:val="21"/>
        </w:rPr>
      </w:pPr>
    </w:p>
    <w:p w:rsidR="00183595" w:rsidRDefault="00183595" w:rsidP="00183595">
      <w:pPr>
        <w:tabs>
          <w:tab w:val="left" w:pos="1680"/>
        </w:tabs>
        <w:rPr>
          <w:rFonts w:ascii="Helvetica" w:hAnsi="Helvetica" w:cs="Helvetica"/>
          <w:sz w:val="21"/>
          <w:szCs w:val="21"/>
        </w:rPr>
      </w:pPr>
    </w:p>
    <w:p w:rsidR="00183595" w:rsidRPr="00296964" w:rsidRDefault="00296964" w:rsidP="00296964">
      <w:pPr>
        <w:tabs>
          <w:tab w:val="left" w:pos="1680"/>
        </w:tabs>
        <w:jc w:val="right"/>
        <w:rPr>
          <w:rFonts w:ascii="Arial" w:hAnsi="Arial" w:cs="Arial"/>
          <w:b/>
          <w:sz w:val="28"/>
          <w:szCs w:val="28"/>
        </w:rPr>
      </w:pPr>
      <w:r w:rsidRPr="00296964">
        <w:rPr>
          <w:rFonts w:ascii="Arial" w:hAnsi="Arial" w:cs="Arial"/>
          <w:b/>
          <w:sz w:val="28"/>
          <w:szCs w:val="28"/>
        </w:rPr>
        <w:t>Приложение 5</w:t>
      </w:r>
    </w:p>
    <w:p w:rsidR="00183595" w:rsidRDefault="00183595" w:rsidP="00183595">
      <w:pPr>
        <w:tabs>
          <w:tab w:val="left" w:pos="1680"/>
        </w:tabs>
        <w:rPr>
          <w:rFonts w:ascii="Helvetica" w:hAnsi="Helvetica" w:cs="Helvetica"/>
          <w:sz w:val="21"/>
          <w:szCs w:val="21"/>
        </w:rPr>
      </w:pPr>
    </w:p>
    <w:p w:rsidR="00183595" w:rsidRDefault="00183595" w:rsidP="00183595">
      <w:pPr>
        <w:tabs>
          <w:tab w:val="left" w:pos="1680"/>
        </w:tabs>
        <w:rPr>
          <w:rFonts w:ascii="Helvetica" w:hAnsi="Helvetica" w:cs="Helvetica"/>
          <w:sz w:val="21"/>
          <w:szCs w:val="21"/>
        </w:rPr>
      </w:pPr>
    </w:p>
    <w:p w:rsidR="00390877" w:rsidRDefault="00390877" w:rsidP="00390877">
      <w:pPr>
        <w:tabs>
          <w:tab w:val="left" w:pos="1680"/>
        </w:tabs>
        <w:rPr>
          <w:sz w:val="28"/>
          <w:szCs w:val="28"/>
        </w:rPr>
      </w:pPr>
      <w:r w:rsidRPr="00390877">
        <w:rPr>
          <w:b/>
          <w:sz w:val="28"/>
          <w:szCs w:val="28"/>
        </w:rPr>
        <w:t>СанПиН 2.4.3.1186-03"Санитарно-эпидемиологические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</w:t>
      </w:r>
      <w:r w:rsidRPr="00390877">
        <w:rPr>
          <w:sz w:val="28"/>
          <w:szCs w:val="28"/>
        </w:rPr>
        <w:t>.</w:t>
      </w:r>
    </w:p>
    <w:p w:rsidR="00390877" w:rsidRPr="00390877" w:rsidRDefault="00390877" w:rsidP="00390877">
      <w:pPr>
        <w:tabs>
          <w:tab w:val="left" w:pos="1680"/>
        </w:tabs>
        <w:rPr>
          <w:b/>
          <w:sz w:val="28"/>
          <w:szCs w:val="28"/>
        </w:rPr>
      </w:pPr>
      <w:bookmarkStart w:id="0" w:name="_GoBack"/>
      <w:bookmarkEnd w:id="0"/>
      <w:r w:rsidRPr="00390877">
        <w:rPr>
          <w:sz w:val="28"/>
          <w:szCs w:val="28"/>
        </w:rPr>
        <w:t xml:space="preserve"> Санитарные правила устанавливают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 независимо от форм собственности и ведомственной принадлежности и распространяются на все виды учреждений начального профессионального образования независимо от профиля и уровня подготовки кадров.</w:t>
      </w:r>
    </w:p>
    <w:p w:rsidR="00390877" w:rsidRDefault="00390877" w:rsidP="00390877">
      <w:pPr>
        <w:tabs>
          <w:tab w:val="left" w:pos="1680"/>
        </w:tabs>
        <w:rPr>
          <w:b/>
          <w:sz w:val="28"/>
          <w:szCs w:val="28"/>
        </w:rPr>
      </w:pPr>
    </w:p>
    <w:p w:rsidR="00296964" w:rsidRDefault="00296964" w:rsidP="00183595">
      <w:pPr>
        <w:tabs>
          <w:tab w:val="left" w:pos="1680"/>
        </w:tabs>
        <w:rPr>
          <w:sz w:val="28"/>
          <w:szCs w:val="28"/>
        </w:rPr>
      </w:pPr>
      <w:r w:rsidRPr="00296964">
        <w:rPr>
          <w:b/>
          <w:sz w:val="28"/>
          <w:szCs w:val="28"/>
        </w:rPr>
        <w:t>СанПиН 2.4.6.2553-09 «Санитарно-эпидемиологические требования к безопасности условий труда работников, не достигших 18-ти летнего возраста».</w:t>
      </w:r>
      <w:r w:rsidRPr="00296964">
        <w:rPr>
          <w:sz w:val="28"/>
          <w:szCs w:val="28"/>
        </w:rPr>
        <w:t xml:space="preserve"> </w:t>
      </w:r>
    </w:p>
    <w:p w:rsidR="00183595" w:rsidRPr="00296964" w:rsidRDefault="00296964" w:rsidP="00183595">
      <w:pPr>
        <w:tabs>
          <w:tab w:val="left" w:pos="1680"/>
        </w:tabs>
        <w:rPr>
          <w:rFonts w:ascii="Helvetica" w:hAnsi="Helvetica" w:cs="Helvetica"/>
          <w:sz w:val="28"/>
          <w:szCs w:val="28"/>
        </w:rPr>
      </w:pPr>
      <w:r w:rsidRPr="00296964">
        <w:rPr>
          <w:sz w:val="28"/>
          <w:szCs w:val="28"/>
        </w:rPr>
        <w:t>Санитарно-эпидемиологические правила устанавливают необходимые требования санитарно-эпидемиологической безопасности условий труда подростков в возрасте от 14 до 18 лет и условия прохождения производственного обучения учащимися учебных заведений общего и профессионального образования, с целью обеспечения безопасных и безвредных условий трудового процесса, не оказывающих неблагоприятного влияния на рост, развитие и состояние здоровья подростков.</w:t>
      </w:r>
    </w:p>
    <w:p w:rsidR="00183595" w:rsidRPr="00296964" w:rsidRDefault="00183595" w:rsidP="00183595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183595" w:rsidRPr="00296964" w:rsidRDefault="00183595" w:rsidP="00183595">
      <w:pPr>
        <w:shd w:val="clear" w:color="auto" w:fill="FFFFFF"/>
        <w:spacing w:after="150"/>
        <w:rPr>
          <w:rFonts w:ascii="Helvetica" w:hAnsi="Helvetica" w:cs="Helvetica"/>
          <w:color w:val="333333"/>
          <w:sz w:val="28"/>
          <w:szCs w:val="28"/>
        </w:rPr>
      </w:pPr>
    </w:p>
    <w:p w:rsidR="00183595" w:rsidRPr="00183595" w:rsidRDefault="00183595" w:rsidP="00183595">
      <w:pPr>
        <w:numPr>
          <w:ilvl w:val="0"/>
          <w:numId w:val="1"/>
        </w:numPr>
        <w:shd w:val="clear" w:color="auto" w:fill="FFFFFF"/>
        <w:spacing w:beforeAutospacing="1" w:after="100" w:afterAutospacing="1" w:line="360" w:lineRule="atLeast"/>
        <w:ind w:left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83595" w:rsidRPr="00183595" w:rsidRDefault="00183595" w:rsidP="00183595">
      <w:pPr>
        <w:rPr>
          <w:b/>
          <w:sz w:val="28"/>
          <w:szCs w:val="28"/>
        </w:rPr>
      </w:pPr>
    </w:p>
    <w:sectPr w:rsidR="00183595" w:rsidRPr="00183595" w:rsidSect="00AB70D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0D1" w:rsidRDefault="00AB70D1" w:rsidP="00AB70D1">
      <w:r>
        <w:separator/>
      </w:r>
    </w:p>
  </w:endnote>
  <w:endnote w:type="continuationSeparator" w:id="0">
    <w:p w:rsidR="00AB70D1" w:rsidRDefault="00AB70D1" w:rsidP="00AB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0D1" w:rsidRDefault="00AB70D1" w:rsidP="00AB70D1">
      <w:r>
        <w:separator/>
      </w:r>
    </w:p>
  </w:footnote>
  <w:footnote w:type="continuationSeparator" w:id="0">
    <w:p w:rsidR="00AB70D1" w:rsidRDefault="00AB70D1" w:rsidP="00AB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7B35"/>
    <w:multiLevelType w:val="multilevel"/>
    <w:tmpl w:val="05A6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D1"/>
    <w:rsid w:val="00183595"/>
    <w:rsid w:val="00296964"/>
    <w:rsid w:val="00360C0C"/>
    <w:rsid w:val="00390877"/>
    <w:rsid w:val="007D04AC"/>
    <w:rsid w:val="007F45B8"/>
    <w:rsid w:val="0080449C"/>
    <w:rsid w:val="00880127"/>
    <w:rsid w:val="00896D9C"/>
    <w:rsid w:val="009B17C3"/>
    <w:rsid w:val="00AB70D1"/>
    <w:rsid w:val="00D84EC5"/>
    <w:rsid w:val="00E6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0D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835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70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70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B70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70D1"/>
    <w:rPr>
      <w:sz w:val="24"/>
      <w:szCs w:val="24"/>
    </w:rPr>
  </w:style>
  <w:style w:type="paragraph" w:styleId="a7">
    <w:name w:val="footer"/>
    <w:basedOn w:val="a"/>
    <w:link w:val="a8"/>
    <w:rsid w:val="00AB70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B70D1"/>
    <w:rPr>
      <w:sz w:val="24"/>
      <w:szCs w:val="24"/>
    </w:rPr>
  </w:style>
  <w:style w:type="paragraph" w:styleId="a9">
    <w:name w:val="Body Text"/>
    <w:basedOn w:val="a"/>
    <w:link w:val="aa"/>
    <w:unhideWhenUsed/>
    <w:rsid w:val="00880127"/>
    <w:pPr>
      <w:jc w:val="center"/>
    </w:pPr>
    <w:rPr>
      <w:b/>
      <w:bCs/>
      <w:sz w:val="28"/>
    </w:rPr>
  </w:style>
  <w:style w:type="character" w:customStyle="1" w:styleId="aa">
    <w:name w:val="Основной текст Знак"/>
    <w:basedOn w:val="a0"/>
    <w:link w:val="a9"/>
    <w:rsid w:val="00880127"/>
    <w:rPr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880127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880127"/>
    <w:rPr>
      <w:w w:val="80"/>
      <w:sz w:val="32"/>
      <w:szCs w:val="24"/>
    </w:rPr>
  </w:style>
  <w:style w:type="paragraph" w:styleId="21">
    <w:name w:val="Body Text Indent 2"/>
    <w:basedOn w:val="a"/>
    <w:link w:val="22"/>
    <w:unhideWhenUsed/>
    <w:rsid w:val="008801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8012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3595"/>
    <w:rPr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unhideWhenUsed/>
    <w:rsid w:val="0018359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83595"/>
    <w:rPr>
      <w:b/>
      <w:bCs/>
    </w:rPr>
  </w:style>
  <w:style w:type="table" w:styleId="ad">
    <w:name w:val="Table Grid"/>
    <w:basedOn w:val="a1"/>
    <w:rsid w:val="0080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0D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835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70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70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B70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70D1"/>
    <w:rPr>
      <w:sz w:val="24"/>
      <w:szCs w:val="24"/>
    </w:rPr>
  </w:style>
  <w:style w:type="paragraph" w:styleId="a7">
    <w:name w:val="footer"/>
    <w:basedOn w:val="a"/>
    <w:link w:val="a8"/>
    <w:rsid w:val="00AB70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B70D1"/>
    <w:rPr>
      <w:sz w:val="24"/>
      <w:szCs w:val="24"/>
    </w:rPr>
  </w:style>
  <w:style w:type="paragraph" w:styleId="a9">
    <w:name w:val="Body Text"/>
    <w:basedOn w:val="a"/>
    <w:link w:val="aa"/>
    <w:unhideWhenUsed/>
    <w:rsid w:val="00880127"/>
    <w:pPr>
      <w:jc w:val="center"/>
    </w:pPr>
    <w:rPr>
      <w:b/>
      <w:bCs/>
      <w:sz w:val="28"/>
    </w:rPr>
  </w:style>
  <w:style w:type="character" w:customStyle="1" w:styleId="aa">
    <w:name w:val="Основной текст Знак"/>
    <w:basedOn w:val="a0"/>
    <w:link w:val="a9"/>
    <w:rsid w:val="00880127"/>
    <w:rPr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880127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880127"/>
    <w:rPr>
      <w:w w:val="80"/>
      <w:sz w:val="32"/>
      <w:szCs w:val="24"/>
    </w:rPr>
  </w:style>
  <w:style w:type="paragraph" w:styleId="21">
    <w:name w:val="Body Text Indent 2"/>
    <w:basedOn w:val="a"/>
    <w:link w:val="22"/>
    <w:unhideWhenUsed/>
    <w:rsid w:val="008801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8012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3595"/>
    <w:rPr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unhideWhenUsed/>
    <w:rsid w:val="0018359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83595"/>
    <w:rPr>
      <w:b/>
      <w:bCs/>
    </w:rPr>
  </w:style>
  <w:style w:type="table" w:styleId="ad">
    <w:name w:val="Table Grid"/>
    <w:basedOn w:val="a1"/>
    <w:rsid w:val="0080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resentacii.ru/documents_2/41e3a48be25dfae6ae3d113a8b9584ac/img1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1107</Words>
  <Characters>8197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6</cp:revision>
  <dcterms:created xsi:type="dcterms:W3CDTF">2020-08-22T12:49:00Z</dcterms:created>
  <dcterms:modified xsi:type="dcterms:W3CDTF">2020-08-24T15:49:00Z</dcterms:modified>
</cp:coreProperties>
</file>